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8"/>
        <w:gridCol w:w="4534"/>
      </w:tblGrid>
      <w:tr w:rsidR="004F55F3" w14:paraId="76307CD5" w14:textId="77777777" w:rsidTr="003556A0">
        <w:trPr>
          <w:trHeight w:val="700"/>
          <w:jc w:val="center"/>
        </w:trPr>
        <w:tc>
          <w:tcPr>
            <w:tcW w:w="2012" w:type="dxa"/>
          </w:tcPr>
          <w:p w14:paraId="45433852" w14:textId="67B290A6" w:rsidR="004F55F3" w:rsidRDefault="004F55F3" w:rsidP="003556A0">
            <w:pPr>
              <w:jc w:val="right"/>
              <w:rPr>
                <w:rFonts w:ascii="Algerian" w:hAnsi="Algerian"/>
                <w:noProof/>
                <w:color w:val="074F6A" w:themeColor="accent4" w:themeShade="80"/>
                <w:sz w:val="48"/>
                <w:szCs w:val="48"/>
              </w:rPr>
            </w:pPr>
            <w:r w:rsidRPr="004F55F3">
              <w:rPr>
                <w:rFonts w:ascii="Algerian" w:hAnsi="Algerian"/>
                <w:noProof/>
                <w:color w:val="074F6A" w:themeColor="accent4" w:themeShade="80"/>
                <w:sz w:val="48"/>
                <w:szCs w:val="48"/>
              </w:rPr>
              <w:drawing>
                <wp:inline distT="0" distB="0" distL="0" distR="0" wp14:anchorId="2F8B21B6" wp14:editId="686CFC67">
                  <wp:extent cx="1239520" cy="339115"/>
                  <wp:effectExtent l="0" t="0" r="0" b="3810"/>
                  <wp:docPr id="89625109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782" cy="346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4" w:type="dxa"/>
          </w:tcPr>
          <w:p w14:paraId="3ED46B98" w14:textId="4D7FE2ED" w:rsidR="004F55F3" w:rsidRPr="004F55F3" w:rsidRDefault="004F55F3" w:rsidP="003556A0">
            <w:pPr>
              <w:jc w:val="center"/>
            </w:pPr>
            <w:r w:rsidRPr="008D75C2">
              <w:rPr>
                <w:rFonts w:ascii="Algerian" w:hAnsi="Algerian"/>
                <w:noProof/>
                <w:color w:val="074F6A" w:themeColor="accent4" w:themeShade="80"/>
                <w:sz w:val="48"/>
                <w:szCs w:val="48"/>
              </w:rPr>
              <w:t>Airiodion Group</w:t>
            </w:r>
            <w:r>
              <w:rPr>
                <w:rFonts w:ascii="Algerian" w:hAnsi="Algerian"/>
                <w:noProof/>
                <w:color w:val="074F6A" w:themeColor="accent4" w:themeShade="80"/>
                <w:sz w:val="48"/>
                <w:szCs w:val="48"/>
              </w:rPr>
              <w:br/>
            </w:r>
            <w:hyperlink r:id="rId6" w:history="1">
              <w:r w:rsidRPr="00E03087">
                <w:rPr>
                  <w:rStyle w:val="Hyperlink"/>
                  <w:color w:val="074F6A" w:themeColor="accent4" w:themeShade="80"/>
                </w:rPr>
                <w:t>https://www.airiodion.com/</w:t>
              </w:r>
            </w:hyperlink>
          </w:p>
        </w:tc>
      </w:tr>
    </w:tbl>
    <w:p w14:paraId="4A49D797" w14:textId="77777777" w:rsidR="004F55F3" w:rsidRDefault="004F55F3" w:rsidP="0002148C">
      <w:pPr>
        <w:jc w:val="center"/>
      </w:pPr>
    </w:p>
    <w:p w14:paraId="7C4DE06E" w14:textId="5BD5C406" w:rsidR="0002148C" w:rsidRDefault="00000000" w:rsidP="0002148C">
      <w:pPr>
        <w:jc w:val="center"/>
        <w:rPr>
          <w:b/>
          <w:bCs/>
          <w:color w:val="074F6A" w:themeColor="accent4" w:themeShade="80"/>
          <w:sz w:val="56"/>
          <w:szCs w:val="56"/>
        </w:rPr>
      </w:pPr>
      <w:r>
        <w:pict w14:anchorId="1A86FD24">
          <v:rect id="_x0000_i1025" style="width:0;height:1.5pt" o:hralign="center" o:hrstd="t" o:hr="t" fillcolor="#a0a0a0" stroked="f"/>
        </w:pict>
      </w:r>
      <w:r w:rsidR="008B6274" w:rsidRPr="008B6274">
        <w:rPr>
          <w:b/>
          <w:bCs/>
          <w:color w:val="074F6A" w:themeColor="accent4" w:themeShade="80"/>
          <w:sz w:val="56"/>
          <w:szCs w:val="56"/>
        </w:rPr>
        <w:t>AI Adoption &amp; Change Management: Action</w:t>
      </w:r>
      <w:r w:rsidR="00AD2300">
        <w:rPr>
          <w:b/>
          <w:bCs/>
          <w:color w:val="074F6A" w:themeColor="accent4" w:themeShade="80"/>
          <w:sz w:val="56"/>
          <w:szCs w:val="56"/>
        </w:rPr>
        <w:t>able</w:t>
      </w:r>
      <w:r w:rsidR="008B6274" w:rsidRPr="008B6274">
        <w:rPr>
          <w:b/>
          <w:bCs/>
          <w:color w:val="074F6A" w:themeColor="accent4" w:themeShade="80"/>
          <w:sz w:val="56"/>
          <w:szCs w:val="56"/>
        </w:rPr>
        <w:t xml:space="preserve"> Checklist</w:t>
      </w:r>
    </w:p>
    <w:p w14:paraId="06E9DC1D" w14:textId="6A4F8FD2" w:rsidR="0002148C" w:rsidRDefault="00000000" w:rsidP="0002148C">
      <w:r>
        <w:pict w14:anchorId="0E944CB6">
          <v:rect id="_x0000_i1026" style="width:0;height:1.5pt" o:hralign="center" o:hrstd="t" o:hr="t" fillcolor="#a0a0a0" stroked="f"/>
        </w:pict>
      </w:r>
    </w:p>
    <w:p w14:paraId="2923C4B3" w14:textId="77777777" w:rsidR="008B6274" w:rsidRPr="00B32630" w:rsidRDefault="008B6274" w:rsidP="008B6274">
      <w:pPr>
        <w:rPr>
          <w:sz w:val="24"/>
          <w:szCs w:val="24"/>
        </w:rPr>
      </w:pPr>
      <w:bookmarkStart w:id="0" w:name="_Hlk204413900"/>
      <w:r w:rsidRPr="00B32630">
        <w:rPr>
          <w:sz w:val="24"/>
          <w:szCs w:val="24"/>
        </w:rPr>
        <w:t>Use this practical checklist to guide your AI adoption strategy with a strong Organizational Change Management (OCM) foundation. These action items are designed to help change leaders, project managers, and stakeholders drive successful, human-centered AI implementation.</w:t>
      </w:r>
    </w:p>
    <w:p w14:paraId="5C3DD447" w14:textId="77777777" w:rsidR="008B6274" w:rsidRDefault="008B6274" w:rsidP="008B6274">
      <w:pPr>
        <w:pStyle w:val="Heading2"/>
      </w:pPr>
      <w:r>
        <w:t>1. Align Leadership and Strategy</w:t>
      </w:r>
    </w:p>
    <w:p w14:paraId="4B058C0C" w14:textId="77777777" w:rsidR="008B6274" w:rsidRDefault="008B6274" w:rsidP="0021170C">
      <w:pPr>
        <w:pStyle w:val="ListBullet"/>
        <w:numPr>
          <w:ilvl w:val="0"/>
          <w:numId w:val="0"/>
        </w:numPr>
      </w:pPr>
      <w:r>
        <w:t>☐ Define and communicate the 'why' behind your AI initiative.</w:t>
      </w:r>
    </w:p>
    <w:p w14:paraId="2EDA838C" w14:textId="77777777" w:rsidR="008B6274" w:rsidRDefault="008B6274" w:rsidP="0021170C">
      <w:pPr>
        <w:pStyle w:val="ListBullet"/>
        <w:numPr>
          <w:ilvl w:val="0"/>
          <w:numId w:val="0"/>
        </w:numPr>
      </w:pPr>
      <w:r>
        <w:t>☐ Host AI education sessions for executive and mid-level leaders.</w:t>
      </w:r>
    </w:p>
    <w:p w14:paraId="0FF56DE0" w14:textId="3F248E95" w:rsidR="008B6274" w:rsidRDefault="008B6274" w:rsidP="0021170C">
      <w:pPr>
        <w:pStyle w:val="ListBullet"/>
        <w:numPr>
          <w:ilvl w:val="0"/>
          <w:numId w:val="0"/>
        </w:numPr>
      </w:pPr>
      <w:r>
        <w:t>☐ Set clear, measurable success metrics for adoption, not just deployment.</w:t>
      </w:r>
    </w:p>
    <w:p w14:paraId="5584DFF3" w14:textId="77777777" w:rsidR="008B6274" w:rsidRDefault="008B6274" w:rsidP="008B6274">
      <w:pPr>
        <w:pStyle w:val="Heading2"/>
      </w:pPr>
      <w:r>
        <w:t>2. Engage Stakeholders Early</w:t>
      </w:r>
    </w:p>
    <w:p w14:paraId="6590423E" w14:textId="77777777" w:rsidR="008B6274" w:rsidRDefault="008B6274" w:rsidP="008B6274">
      <w:pPr>
        <w:pStyle w:val="ListBullet"/>
        <w:numPr>
          <w:ilvl w:val="0"/>
          <w:numId w:val="0"/>
        </w:numPr>
      </w:pPr>
      <w:r>
        <w:t>☐ Map out impacted roles and teams.</w:t>
      </w:r>
    </w:p>
    <w:p w14:paraId="6A4A43F9" w14:textId="77777777" w:rsidR="008B6274" w:rsidRDefault="008B6274" w:rsidP="008B6274">
      <w:pPr>
        <w:pStyle w:val="ListBullet"/>
        <w:numPr>
          <w:ilvl w:val="0"/>
          <w:numId w:val="0"/>
        </w:numPr>
      </w:pPr>
      <w:r>
        <w:t>☐ Create a stakeholder engagement plan with early input opportunities.</w:t>
      </w:r>
    </w:p>
    <w:p w14:paraId="3E1EA689" w14:textId="77777777" w:rsidR="008B6274" w:rsidRDefault="008B6274" w:rsidP="008B6274">
      <w:pPr>
        <w:pStyle w:val="ListBullet"/>
        <w:numPr>
          <w:ilvl w:val="0"/>
          <w:numId w:val="0"/>
        </w:numPr>
      </w:pPr>
      <w:r>
        <w:t>☐ Identify potential resistance areas and mitigation tactics.</w:t>
      </w:r>
    </w:p>
    <w:p w14:paraId="38E7B202" w14:textId="77777777" w:rsidR="008B6274" w:rsidRDefault="008B6274" w:rsidP="008B6274">
      <w:pPr>
        <w:pStyle w:val="Heading2"/>
      </w:pPr>
      <w:r>
        <w:t>3. Build a Transparent Communication Plan</w:t>
      </w:r>
    </w:p>
    <w:p w14:paraId="2BA4C135" w14:textId="77777777" w:rsidR="008B6274" w:rsidRDefault="008B6274" w:rsidP="008B6274">
      <w:pPr>
        <w:pStyle w:val="ListBullet"/>
        <w:numPr>
          <w:ilvl w:val="0"/>
          <w:numId w:val="0"/>
        </w:numPr>
      </w:pPr>
      <w:r>
        <w:t>☐ Develop messaging that focuses on how AI supports—not replaces—people.</w:t>
      </w:r>
    </w:p>
    <w:p w14:paraId="6A94D6DB" w14:textId="77777777" w:rsidR="008B6274" w:rsidRDefault="008B6274" w:rsidP="008B6274">
      <w:pPr>
        <w:pStyle w:val="ListBullet"/>
        <w:numPr>
          <w:ilvl w:val="0"/>
          <w:numId w:val="0"/>
        </w:numPr>
      </w:pPr>
      <w:r>
        <w:t>☐ Address job security concerns and ethical considerations up front.</w:t>
      </w:r>
    </w:p>
    <w:p w14:paraId="6B039022" w14:textId="77777777" w:rsidR="008B6274" w:rsidRDefault="008B6274" w:rsidP="008B6274">
      <w:pPr>
        <w:pStyle w:val="ListBullet"/>
        <w:numPr>
          <w:ilvl w:val="0"/>
          <w:numId w:val="0"/>
        </w:numPr>
      </w:pPr>
      <w:r>
        <w:t>☐ Use real employee stories and early pilot results to build trust.</w:t>
      </w:r>
    </w:p>
    <w:p w14:paraId="02BD5CDE" w14:textId="77777777" w:rsidR="008B6274" w:rsidRDefault="008B6274" w:rsidP="008B6274">
      <w:pPr>
        <w:pStyle w:val="Heading2"/>
      </w:pPr>
      <w:r>
        <w:t>4. Design Training for Real Use Cases</w:t>
      </w:r>
    </w:p>
    <w:p w14:paraId="35A07582" w14:textId="77777777" w:rsidR="008B6274" w:rsidRDefault="008B6274" w:rsidP="008B6274">
      <w:pPr>
        <w:pStyle w:val="ListBullet"/>
        <w:numPr>
          <w:ilvl w:val="0"/>
          <w:numId w:val="0"/>
        </w:numPr>
      </w:pPr>
      <w:r>
        <w:t>☐ Create role-based AI training programs (not just tool overviews).</w:t>
      </w:r>
    </w:p>
    <w:p w14:paraId="67C8D34B" w14:textId="77777777" w:rsidR="008B6274" w:rsidRDefault="008B6274" w:rsidP="008B6274">
      <w:pPr>
        <w:pStyle w:val="ListBullet"/>
        <w:numPr>
          <w:ilvl w:val="0"/>
          <w:numId w:val="0"/>
        </w:numPr>
      </w:pPr>
      <w:r>
        <w:t>☐ Teach prompt writing, validation, and ethical AI use.</w:t>
      </w:r>
    </w:p>
    <w:p w14:paraId="1E5ED7A3" w14:textId="77777777" w:rsidR="008B6274" w:rsidRDefault="008B6274" w:rsidP="008B6274">
      <w:pPr>
        <w:pStyle w:val="ListBullet"/>
        <w:numPr>
          <w:ilvl w:val="0"/>
          <w:numId w:val="0"/>
        </w:numPr>
      </w:pPr>
      <w:r>
        <w:t>☐ Offer hands-on learning environments and microlearning formats.</w:t>
      </w:r>
    </w:p>
    <w:p w14:paraId="37835791" w14:textId="77777777" w:rsidR="008B6274" w:rsidRDefault="008B6274" w:rsidP="008B6274">
      <w:pPr>
        <w:pStyle w:val="Heading2"/>
      </w:pPr>
      <w:r>
        <w:t>5. Start Small and Scale Smart</w:t>
      </w:r>
    </w:p>
    <w:p w14:paraId="44C316DD" w14:textId="77777777" w:rsidR="008B6274" w:rsidRDefault="008B6274" w:rsidP="008B6274">
      <w:pPr>
        <w:pStyle w:val="ListBullet"/>
        <w:numPr>
          <w:ilvl w:val="0"/>
          <w:numId w:val="0"/>
        </w:numPr>
      </w:pPr>
      <w:r>
        <w:t>☐ Run small pilot projects with high visibility and business value.</w:t>
      </w:r>
    </w:p>
    <w:p w14:paraId="0B50F72D" w14:textId="77777777" w:rsidR="008B6274" w:rsidRDefault="008B6274" w:rsidP="008B6274">
      <w:pPr>
        <w:pStyle w:val="ListBullet"/>
        <w:numPr>
          <w:ilvl w:val="0"/>
          <w:numId w:val="0"/>
        </w:numPr>
      </w:pPr>
      <w:r>
        <w:t>☐ Gather feedback and adapt before scaling.</w:t>
      </w:r>
    </w:p>
    <w:p w14:paraId="3C27397D" w14:textId="77777777" w:rsidR="008B6274" w:rsidRDefault="008B6274" w:rsidP="008B6274">
      <w:pPr>
        <w:pStyle w:val="ListBullet"/>
        <w:numPr>
          <w:ilvl w:val="0"/>
          <w:numId w:val="0"/>
        </w:numPr>
      </w:pPr>
      <w:r>
        <w:lastRenderedPageBreak/>
        <w:t>☐ Celebrate quick wins and recognize early adopters publicly.</w:t>
      </w:r>
    </w:p>
    <w:p w14:paraId="47D53678" w14:textId="77777777" w:rsidR="008B6274" w:rsidRDefault="008B6274" w:rsidP="008B6274">
      <w:pPr>
        <w:pStyle w:val="Heading2"/>
      </w:pPr>
      <w:r>
        <w:t>6. Monitor and Sustain Adoption</w:t>
      </w:r>
    </w:p>
    <w:p w14:paraId="59976D10" w14:textId="77777777" w:rsidR="008B6274" w:rsidRDefault="008B6274" w:rsidP="008B6274">
      <w:pPr>
        <w:pStyle w:val="ListBullet"/>
        <w:numPr>
          <w:ilvl w:val="0"/>
          <w:numId w:val="0"/>
        </w:numPr>
      </w:pPr>
      <w:r>
        <w:t>☐ Track adoption metrics like usage, satisfaction, and time saved.</w:t>
      </w:r>
    </w:p>
    <w:p w14:paraId="213FE5FE" w14:textId="77777777" w:rsidR="008B6274" w:rsidRDefault="008B6274" w:rsidP="008B6274">
      <w:pPr>
        <w:pStyle w:val="ListBullet"/>
        <w:numPr>
          <w:ilvl w:val="0"/>
          <w:numId w:val="0"/>
        </w:numPr>
      </w:pPr>
      <w:r>
        <w:t>☐ Collect and respond to ongoing user feedback.</w:t>
      </w:r>
    </w:p>
    <w:p w14:paraId="2B66F952" w14:textId="77777777" w:rsidR="008B6274" w:rsidRDefault="008B6274" w:rsidP="008B6274">
      <w:pPr>
        <w:pStyle w:val="ListBullet"/>
        <w:numPr>
          <w:ilvl w:val="0"/>
          <w:numId w:val="0"/>
        </w:numPr>
      </w:pPr>
      <w:r>
        <w:t>☐ Update change and training plans as tools and use cases evolve.</w:t>
      </w:r>
    </w:p>
    <w:bookmarkEnd w:id="0"/>
    <w:p w14:paraId="54597C0D" w14:textId="77777777" w:rsidR="000A6500" w:rsidRPr="000A6500" w:rsidRDefault="000A6500" w:rsidP="000A6500">
      <w:pPr>
        <w:spacing w:after="200" w:line="276" w:lineRule="auto"/>
        <w:contextualSpacing/>
        <w:rPr>
          <w:rFonts w:ascii="Cambria" w:eastAsia="MS Mincho" w:hAnsi="Cambria" w:cs="Times New Roman"/>
          <w:kern w:val="0"/>
          <w14:ligatures w14:val="none"/>
        </w:rPr>
      </w:pPr>
    </w:p>
    <w:p w14:paraId="25A675A4" w14:textId="77777777" w:rsidR="005465F9" w:rsidRDefault="00000000" w:rsidP="0002148C">
      <w:pPr>
        <w:jc w:val="center"/>
        <w:rPr>
          <w:sz w:val="32"/>
          <w:szCs w:val="32"/>
        </w:rPr>
      </w:pPr>
      <w:r>
        <w:pict w14:anchorId="5D7C35DB">
          <v:rect id="_x0000_i1027" style="width:0;height:1.5pt" o:hralign="center" o:bullet="t" o:hrstd="t" o:hr="t" fillcolor="#a0a0a0" stroked="f"/>
        </w:pict>
      </w:r>
      <w:r w:rsidR="0002148C" w:rsidRPr="000A6500">
        <w:rPr>
          <w:sz w:val="32"/>
          <w:szCs w:val="32"/>
        </w:rPr>
        <w:t xml:space="preserve">View our website for more helpful guides: </w:t>
      </w:r>
    </w:p>
    <w:p w14:paraId="61F4C95A" w14:textId="417B8C8A" w:rsidR="008D75C2" w:rsidRPr="008D75C2" w:rsidRDefault="008D75C2" w:rsidP="0002148C">
      <w:pPr>
        <w:jc w:val="center"/>
        <w:rPr>
          <w:sz w:val="32"/>
          <w:szCs w:val="32"/>
        </w:rPr>
      </w:pPr>
      <w:hyperlink r:id="rId7" w:history="1">
        <w:r w:rsidRPr="008D75C2">
          <w:rPr>
            <w:rStyle w:val="Hyperlink"/>
            <w:sz w:val="32"/>
            <w:szCs w:val="32"/>
          </w:rPr>
          <w:t>https://www.airiodion.com/</w:t>
        </w:r>
      </w:hyperlink>
    </w:p>
    <w:p w14:paraId="7EBE01A1" w14:textId="60036F6D" w:rsidR="0002148C" w:rsidRPr="000A6500" w:rsidRDefault="0002148C" w:rsidP="0002148C">
      <w:pPr>
        <w:jc w:val="center"/>
        <w:rPr>
          <w:sz w:val="32"/>
          <w:szCs w:val="32"/>
        </w:rPr>
      </w:pPr>
      <w:hyperlink r:id="rId8" w:history="1"/>
      <w:r w:rsidR="00000000">
        <w:pict w14:anchorId="62F5B291">
          <v:rect id="_x0000_i1028" style="width:0;height:1.5pt" o:hralign="center" o:hrstd="t" o:hr="t" fillcolor="#a0a0a0" stroked="f"/>
        </w:pict>
      </w:r>
    </w:p>
    <w:p w14:paraId="4E24524A" w14:textId="77777777" w:rsidR="00081DBA" w:rsidRDefault="00081DBA"/>
    <w:sectPr w:rsidR="00081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446AA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5A7630"/>
    <w:multiLevelType w:val="multilevel"/>
    <w:tmpl w:val="BD30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F5341"/>
    <w:multiLevelType w:val="multilevel"/>
    <w:tmpl w:val="6E64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485A47"/>
    <w:multiLevelType w:val="multilevel"/>
    <w:tmpl w:val="3FBE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37C4E"/>
    <w:multiLevelType w:val="multilevel"/>
    <w:tmpl w:val="0908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BF738A"/>
    <w:multiLevelType w:val="multilevel"/>
    <w:tmpl w:val="8A38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B402B3"/>
    <w:multiLevelType w:val="multilevel"/>
    <w:tmpl w:val="6D8C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D6152A"/>
    <w:multiLevelType w:val="multilevel"/>
    <w:tmpl w:val="1E58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415244"/>
    <w:multiLevelType w:val="multilevel"/>
    <w:tmpl w:val="8864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B5044E"/>
    <w:multiLevelType w:val="multilevel"/>
    <w:tmpl w:val="8898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A61124"/>
    <w:multiLevelType w:val="multilevel"/>
    <w:tmpl w:val="A522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35386D"/>
    <w:multiLevelType w:val="multilevel"/>
    <w:tmpl w:val="D6B0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7A1D66"/>
    <w:multiLevelType w:val="multilevel"/>
    <w:tmpl w:val="2CCA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3039378">
    <w:abstractNumId w:val="12"/>
  </w:num>
  <w:num w:numId="2" w16cid:durableId="1084032365">
    <w:abstractNumId w:val="2"/>
  </w:num>
  <w:num w:numId="3" w16cid:durableId="1213806683">
    <w:abstractNumId w:val="10"/>
  </w:num>
  <w:num w:numId="4" w16cid:durableId="1172917730">
    <w:abstractNumId w:val="5"/>
  </w:num>
  <w:num w:numId="5" w16cid:durableId="110130525">
    <w:abstractNumId w:val="4"/>
  </w:num>
  <w:num w:numId="6" w16cid:durableId="1543709641">
    <w:abstractNumId w:val="9"/>
  </w:num>
  <w:num w:numId="7" w16cid:durableId="98138955">
    <w:abstractNumId w:val="1"/>
  </w:num>
  <w:num w:numId="8" w16cid:durableId="461463887">
    <w:abstractNumId w:val="8"/>
  </w:num>
  <w:num w:numId="9" w16cid:durableId="456029052">
    <w:abstractNumId w:val="11"/>
  </w:num>
  <w:num w:numId="10" w16cid:durableId="1410080464">
    <w:abstractNumId w:val="3"/>
  </w:num>
  <w:num w:numId="11" w16cid:durableId="1020624332">
    <w:abstractNumId w:val="7"/>
  </w:num>
  <w:num w:numId="12" w16cid:durableId="570192608">
    <w:abstractNumId w:val="6"/>
  </w:num>
  <w:num w:numId="13" w16cid:durableId="119009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EwNTU1NzEwNzYyM7dQ0lEKTi0uzszPAykwrAUAuLFZniwAAAA="/>
  </w:docVars>
  <w:rsids>
    <w:rsidRoot w:val="00755C62"/>
    <w:rsid w:val="0002148C"/>
    <w:rsid w:val="00081DBA"/>
    <w:rsid w:val="00093C1D"/>
    <w:rsid w:val="000A6500"/>
    <w:rsid w:val="001C5478"/>
    <w:rsid w:val="001E68B4"/>
    <w:rsid w:val="0020494E"/>
    <w:rsid w:val="0021170C"/>
    <w:rsid w:val="00324A2A"/>
    <w:rsid w:val="003556A0"/>
    <w:rsid w:val="00364FCF"/>
    <w:rsid w:val="004C4822"/>
    <w:rsid w:val="004F55F3"/>
    <w:rsid w:val="005465F9"/>
    <w:rsid w:val="005B0450"/>
    <w:rsid w:val="006C049F"/>
    <w:rsid w:val="00755C62"/>
    <w:rsid w:val="00835733"/>
    <w:rsid w:val="008B6274"/>
    <w:rsid w:val="008D75C2"/>
    <w:rsid w:val="008E4049"/>
    <w:rsid w:val="009F096D"/>
    <w:rsid w:val="00A979BF"/>
    <w:rsid w:val="00AD2300"/>
    <w:rsid w:val="00AE35D3"/>
    <w:rsid w:val="00B32630"/>
    <w:rsid w:val="00C9648C"/>
    <w:rsid w:val="00CE2172"/>
    <w:rsid w:val="00E03087"/>
    <w:rsid w:val="00E13AFA"/>
    <w:rsid w:val="00F2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CF2D0"/>
  <w15:chartTrackingRefBased/>
  <w15:docId w15:val="{EA1F4A98-5495-4083-A46A-06211414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48C"/>
  </w:style>
  <w:style w:type="paragraph" w:styleId="Heading1">
    <w:name w:val="heading 1"/>
    <w:basedOn w:val="Normal"/>
    <w:next w:val="Normal"/>
    <w:link w:val="Heading1Char"/>
    <w:uiPriority w:val="9"/>
    <w:qFormat/>
    <w:rsid w:val="00755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C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C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C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C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C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C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C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C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C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C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C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C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C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C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C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C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C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C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C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C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C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C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C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C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148C"/>
    <w:rPr>
      <w:color w:val="0000FF"/>
      <w:u w:val="single"/>
    </w:rPr>
  </w:style>
  <w:style w:type="table" w:styleId="TableGrid">
    <w:name w:val="Table Grid"/>
    <w:basedOn w:val="TableNormal"/>
    <w:uiPriority w:val="59"/>
    <w:rsid w:val="000A6500"/>
    <w:pPr>
      <w:spacing w:after="0" w:line="240" w:lineRule="auto"/>
    </w:pPr>
    <w:rPr>
      <w:rFonts w:eastAsia="MS Mincho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465F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8B6274"/>
    <w:pPr>
      <w:numPr>
        <w:numId w:val="13"/>
      </w:numPr>
      <w:tabs>
        <w:tab w:val="clear" w:pos="360"/>
      </w:tabs>
      <w:spacing w:after="200" w:line="276" w:lineRule="auto"/>
      <w:ind w:left="0" w:firstLine="0"/>
      <w:contextualSpacing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2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cialworkportal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iriodio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iriodion.co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Airiodion, Ogbe (Contractor)</dc:creator>
  <cp:keywords/>
  <dc:description/>
  <cp:lastModifiedBy>Ogbe Airiodion</cp:lastModifiedBy>
  <cp:revision>11</cp:revision>
  <dcterms:created xsi:type="dcterms:W3CDTF">2025-06-10T19:09:00Z</dcterms:created>
  <dcterms:modified xsi:type="dcterms:W3CDTF">2025-07-26T16:55:00Z</dcterms:modified>
</cp:coreProperties>
</file>